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53" w:rsidRDefault="000A4D53" w:rsidP="000A4D5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0A4D53" w:rsidRDefault="000A4D53" w:rsidP="000A4D5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0A4D53" w:rsidRDefault="000A4D53" w:rsidP="000A4D5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0A4D53" w:rsidRDefault="000A4D53" w:rsidP="000A4D53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0A4D53" w:rsidRDefault="000A4D53" w:rsidP="000A4D5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0A4D53" w:rsidRDefault="000A4D53" w:rsidP="000A4D53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0A4D53" w:rsidRDefault="000A4D53" w:rsidP="000A4D5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1.1.7. -1/201</w:t>
      </w:r>
      <w:r w:rsidR="00AF45AF">
        <w:rPr>
          <w:rFonts w:ascii="Arial" w:hAnsi="Arial" w:cs="Arial"/>
          <w:lang w:val="sr-Cyrl-CS"/>
        </w:rPr>
        <w:t>8</w:t>
      </w:r>
      <w:r>
        <w:rPr>
          <w:rFonts w:ascii="Arial" w:hAnsi="Arial" w:cs="Arial"/>
          <w:lang w:val="sr-Latn-CS"/>
        </w:rPr>
        <w:t xml:space="preserve"> </w:t>
      </w:r>
    </w:p>
    <w:p w:rsidR="000A4D53" w:rsidRDefault="000A4D53" w:rsidP="000A4D5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 w:rsidR="00AF45AF">
        <w:rPr>
          <w:rFonts w:ascii="Arial" w:hAnsi="Arial" w:cs="Arial"/>
          <w:b/>
          <w:lang w:val="sr-Cyrl-CS"/>
        </w:rPr>
        <w:t>02</w:t>
      </w:r>
      <w:r>
        <w:rPr>
          <w:rFonts w:ascii="Arial" w:hAnsi="Arial" w:cs="Arial"/>
          <w:b/>
          <w:lang w:val="sr-Cyrl-CS"/>
        </w:rPr>
        <w:t>.02.201</w:t>
      </w:r>
      <w:r w:rsidR="00AF45AF">
        <w:rPr>
          <w:rFonts w:ascii="Arial" w:hAnsi="Arial" w:cs="Arial"/>
          <w:b/>
          <w:lang w:val="sr-Cyrl-CS"/>
        </w:rPr>
        <w:t>8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lang w:val="sr-Latn-CS"/>
        </w:rPr>
        <w:t xml:space="preserve"> </w:t>
      </w:r>
    </w:p>
    <w:p w:rsidR="000A4D53" w:rsidRDefault="000A4D53" w:rsidP="000A4D53">
      <w:pPr>
        <w:ind w:firstLine="720"/>
        <w:jc w:val="both"/>
        <w:rPr>
          <w:rFonts w:ascii="Arial" w:hAnsi="Arial" w:cs="Arial"/>
          <w:lang w:val="sr-Cyrl-CS"/>
        </w:rPr>
      </w:pPr>
    </w:p>
    <w:p w:rsidR="000A4D53" w:rsidRDefault="000A4D53" w:rsidP="000A4D53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Директор Ј.К.П. Сопот, </w:t>
      </w:r>
      <w:r w:rsidRPr="0094000A"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sr-Cyrl-CS"/>
        </w:rPr>
        <w:t>108.</w:t>
      </w:r>
      <w:r w:rsidRPr="0094000A">
        <w:rPr>
          <w:rFonts w:ascii="Arial" w:hAnsi="Arial" w:cs="Arial"/>
          <w:lang w:val="sr-Cyrl-CS"/>
        </w:rPr>
        <w:t xml:space="preserve"> Закона о јавним набавкама 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94000A">
        <w:rPr>
          <w:rFonts w:ascii="Arial" w:hAnsi="Arial" w:cs="Arial"/>
          <w:lang w:val="sr-Cyrl-CS"/>
        </w:rPr>
        <w:t>),</w:t>
      </w:r>
      <w:r w:rsidRPr="00385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даљем тексту Закон,</w:t>
      </w:r>
      <w:r w:rsidRPr="0094000A">
        <w:rPr>
          <w:rFonts w:ascii="Arial" w:hAnsi="Arial" w:cs="Arial"/>
          <w:lang w:val="sr-Cyrl-CS"/>
        </w:rPr>
        <w:t xml:space="preserve"> доноси:</w:t>
      </w:r>
    </w:p>
    <w:p w:rsidR="000A4D53" w:rsidRDefault="000A4D53" w:rsidP="000A4D53">
      <w:pPr>
        <w:jc w:val="both"/>
        <w:rPr>
          <w:rFonts w:ascii="Arial" w:hAnsi="Arial" w:cs="Arial"/>
          <w:lang w:val="sr-Cyrl-CS"/>
        </w:rPr>
      </w:pPr>
    </w:p>
    <w:p w:rsidR="000A4D53" w:rsidRDefault="000A4D53" w:rsidP="000A4D53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0A4D53" w:rsidRDefault="000A4D53" w:rsidP="000A4D53">
      <w:pPr>
        <w:ind w:firstLine="720"/>
        <w:jc w:val="center"/>
        <w:rPr>
          <w:rFonts w:ascii="Arial" w:hAnsi="Arial" w:cs="Arial"/>
          <w:b/>
          <w:lang w:val="sr-Cyrl-CS"/>
        </w:rPr>
      </w:pPr>
    </w:p>
    <w:p w:rsidR="000A4D53" w:rsidRPr="008048FD" w:rsidRDefault="000A4D53" w:rsidP="000A4D5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lang w:val="sr-Cyrl-CS"/>
        </w:rPr>
        <w:tab/>
      </w:r>
      <w:r w:rsidRPr="009A4BB3">
        <w:rPr>
          <w:rFonts w:ascii="Arial" w:hAnsi="Arial" w:cs="Arial"/>
          <w:lang w:val="sr-Cyrl-CS"/>
        </w:rPr>
        <w:t xml:space="preserve">У </w:t>
      </w:r>
      <w:r>
        <w:rPr>
          <w:rFonts w:ascii="Arial" w:hAnsi="Arial" w:cs="Arial"/>
          <w:lang w:val="sr-Cyrl-CS"/>
        </w:rPr>
        <w:t xml:space="preserve"> отвореном поступку </w:t>
      </w:r>
      <w:r w:rsidRPr="009A4BB3">
        <w:rPr>
          <w:rFonts w:ascii="Arial" w:hAnsi="Arial" w:cs="Arial"/>
          <w:lang w:val="sr-Cyrl-CS"/>
        </w:rPr>
        <w:t>јавне набавке</w:t>
      </w:r>
      <w:r>
        <w:rPr>
          <w:rFonts w:ascii="Arial" w:hAnsi="Arial" w:cs="Arial"/>
          <w:lang w:val="sr-Cyrl-CS"/>
        </w:rPr>
        <w:t xml:space="preserve"> електричне енергије  број: 1.1.7. -1/2018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,</w:t>
      </w:r>
      <w:r w:rsidRPr="008048FD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>додељује се уговор о јавној набавци електричне енергије понуђачу ЕПС Снабдевање доо из Београда, ул. Царице Милице бр 2  са ПИБ 103920327 и МБ 20053657.</w:t>
      </w:r>
    </w:p>
    <w:p w:rsidR="000A4D53" w:rsidRDefault="000A4D53" w:rsidP="000A4D53">
      <w:pPr>
        <w:rPr>
          <w:lang w:val="sr-Cyrl-CS"/>
        </w:rPr>
      </w:pPr>
      <w:r>
        <w:rPr>
          <w:lang w:val="sr-Cyrl-CS"/>
        </w:rPr>
        <w:t>............................................................................................................................................................</w:t>
      </w:r>
    </w:p>
    <w:p w:rsidR="000A4D53" w:rsidRPr="00EA64D0" w:rsidRDefault="000A4D53" w:rsidP="000A4D53">
      <w:pPr>
        <w:suppressAutoHyphens/>
        <w:spacing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Ј.K.П. </w:t>
      </w:r>
      <w:proofErr w:type="spellStart"/>
      <w:r>
        <w:rPr>
          <w:rFonts w:ascii="Arial" w:hAnsi="Arial" w:cs="Arial"/>
        </w:rPr>
        <w:t>Сопот</w:t>
      </w:r>
      <w:proofErr w:type="spellEnd"/>
      <w:r w:rsidRPr="00EB72AD">
        <w:rPr>
          <w:rFonts w:ascii="Arial" w:hAnsi="Arial" w:cs="Arial"/>
        </w:rPr>
        <w:t xml:space="preserve">, у </w:t>
      </w:r>
      <w:proofErr w:type="spellStart"/>
      <w:r w:rsidRPr="00EB72AD">
        <w:rPr>
          <w:rFonts w:ascii="Arial" w:hAnsi="Arial" w:cs="Arial"/>
        </w:rPr>
        <w:t>даљем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тексту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Наручилац</w:t>
      </w:r>
      <w:proofErr w:type="spellEnd"/>
      <w:proofErr w:type="gramStart"/>
      <w:r w:rsidRPr="00EB72AD">
        <w:rPr>
          <w:rFonts w:ascii="Arial" w:hAnsi="Arial" w:cs="Arial"/>
        </w:rPr>
        <w:t xml:space="preserve">,  </w:t>
      </w:r>
      <w:proofErr w:type="spellStart"/>
      <w:r w:rsidRPr="00EB72AD">
        <w:rPr>
          <w:rFonts w:ascii="Arial" w:hAnsi="Arial" w:cs="Arial"/>
        </w:rPr>
        <w:t>је</w:t>
      </w:r>
      <w:proofErr w:type="spellEnd"/>
      <w:proofErr w:type="gram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дана</w:t>
      </w:r>
      <w:proofErr w:type="spellEnd"/>
      <w:r w:rsidRPr="00EB7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25.0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.2017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бр. </w:t>
      </w:r>
      <w:proofErr w:type="gramStart"/>
      <w:r>
        <w:rPr>
          <w:rFonts w:ascii="Arial" w:hAnsi="Arial" w:cs="Arial"/>
        </w:rPr>
        <w:t>1.1.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>.-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 w:val="sr-Cyrl-CS"/>
        </w:rPr>
        <w:t>8 јавне набавке електричне енергије.</w:t>
      </w:r>
      <w:proofErr w:type="gramEnd"/>
    </w:p>
    <w:p w:rsidR="000A4D53" w:rsidRPr="00EA64D0" w:rsidRDefault="000A4D53" w:rsidP="000A4D53">
      <w:pPr>
        <w:suppressAutoHyphens/>
        <w:spacing w:line="100" w:lineRule="atLeast"/>
        <w:ind w:firstLine="720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17.</w:t>
      </w:r>
      <w:r>
        <w:rPr>
          <w:rFonts w:ascii="Arial" w:hAnsi="Arial" w:cs="Arial"/>
          <w:iCs/>
        </w:rPr>
        <w:t>0</w:t>
      </w:r>
      <w:r>
        <w:rPr>
          <w:rFonts w:ascii="Arial" w:hAnsi="Arial" w:cs="Arial"/>
          <w:iCs/>
          <w:lang w:val="sr-Cyrl-CS"/>
        </w:rPr>
        <w:t>00</w:t>
      </w:r>
      <w:r>
        <w:rPr>
          <w:rFonts w:ascii="Arial" w:hAnsi="Arial" w:cs="Arial"/>
          <w:iCs/>
        </w:rPr>
        <w:t>.000,00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а.</w:t>
      </w:r>
    </w:p>
    <w:p w:rsidR="000A4D53" w:rsidRDefault="000A4D53" w:rsidP="000A4D53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редним бројем </w:t>
      </w:r>
      <w:r>
        <w:rPr>
          <w:rFonts w:ascii="Arial" w:hAnsi="Arial" w:cs="Arial"/>
        </w:rPr>
        <w:t>1.1.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>.-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 w:val="sr-Cyrl-CS"/>
        </w:rPr>
        <w:t xml:space="preserve">8 </w:t>
      </w:r>
      <w:r>
        <w:rPr>
          <w:rFonts w:ascii="Arial" w:hAnsi="Arial" w:cs="Arial"/>
          <w:iCs/>
          <w:lang w:val="sr-Cyrl-CS"/>
        </w:rPr>
        <w:t xml:space="preserve">у Плану набавки, а </w:t>
      </w:r>
      <w:r>
        <w:rPr>
          <w:rFonts w:ascii="Arial" w:hAnsi="Arial" w:cs="Arial"/>
          <w:lang w:val="sr-Cyrl-CS"/>
        </w:rPr>
        <w:t>планирано је да се поступак спроведе у првом кварталу 2018. године.</w:t>
      </w:r>
    </w:p>
    <w:p w:rsidR="000A4D53" w:rsidRPr="009526B6" w:rsidRDefault="000A4D53" w:rsidP="000A4D53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С</w:t>
      </w:r>
      <w:r w:rsidRPr="0094000A">
        <w:rPr>
          <w:rFonts w:ascii="Arial" w:hAnsi="Arial" w:cs="Arial"/>
          <w:lang w:val="sr-Cyrl-CS"/>
        </w:rPr>
        <w:t>редства за јавн</w:t>
      </w:r>
      <w:r>
        <w:rPr>
          <w:rFonts w:ascii="Arial" w:hAnsi="Arial" w:cs="Arial"/>
          <w:lang w:val="sr-Cyrl-CS"/>
        </w:rPr>
        <w:t>у</w:t>
      </w:r>
      <w:r w:rsidRPr="0094000A">
        <w:rPr>
          <w:rFonts w:ascii="Arial" w:hAnsi="Arial" w:cs="Arial"/>
          <w:lang w:val="sr-Cyrl-CS"/>
        </w:rPr>
        <w:t xml:space="preserve"> набавк</w:t>
      </w:r>
      <w:r>
        <w:rPr>
          <w:rFonts w:ascii="Arial" w:hAnsi="Arial" w:cs="Arial"/>
          <w:lang w:val="sr-Cyrl-CS"/>
        </w:rPr>
        <w:t xml:space="preserve">у </w:t>
      </w:r>
      <w:r w:rsidRPr="0094000A">
        <w:rPr>
          <w:rFonts w:ascii="Arial" w:hAnsi="Arial" w:cs="Arial"/>
          <w:lang w:val="sr-Cyrl-CS"/>
        </w:rPr>
        <w:t xml:space="preserve">су </w:t>
      </w:r>
      <w:r>
        <w:rPr>
          <w:rFonts w:ascii="Arial" w:hAnsi="Arial" w:cs="Arial"/>
          <w:lang w:val="sr-Cyrl-CS"/>
        </w:rPr>
        <w:t>предвиђена</w:t>
      </w:r>
      <w:r w:rsidRPr="009400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 планирана у Програму пословања предузећа за 2018</w:t>
      </w:r>
      <w:r>
        <w:rPr>
          <w:rFonts w:ascii="Arial" w:hAnsi="Arial" w:cs="Arial"/>
        </w:rPr>
        <w:t>.</w:t>
      </w:r>
      <w:r w:rsidRPr="00B24600">
        <w:rPr>
          <w:rFonts w:ascii="Arial" w:hAnsi="Arial" w:cs="Arial"/>
          <w:lang w:val="sr-Cyrl-CS"/>
        </w:rPr>
        <w:t xml:space="preserve"> годину, Финансијским пл</w:t>
      </w:r>
      <w:r>
        <w:rPr>
          <w:rFonts w:ascii="Arial" w:hAnsi="Arial" w:cs="Arial"/>
          <w:lang w:val="sr-Cyrl-CS"/>
        </w:rPr>
        <w:t xml:space="preserve">аном под бројем </w:t>
      </w:r>
      <w:r>
        <w:rPr>
          <w:rFonts w:ascii="Arial" w:hAnsi="Arial" w:cs="Arial"/>
        </w:rPr>
        <w:t xml:space="preserve">II , </w:t>
      </w:r>
      <w:r>
        <w:rPr>
          <w:rFonts w:ascii="Arial" w:hAnsi="Arial" w:cs="Arial"/>
          <w:lang w:val="sr-Cyrl-CS"/>
        </w:rPr>
        <w:t>бр 2.</w:t>
      </w:r>
    </w:p>
    <w:p w:rsidR="000A4D53" w:rsidRPr="00C04EE5" w:rsidRDefault="000A4D53" w:rsidP="000A4D53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Позив за достављање понуда и конкурсна документација објављени су на Порталу јавних набавки дана 28.</w:t>
      </w:r>
      <w:r>
        <w:rPr>
          <w:rFonts w:ascii="Arial" w:hAnsi="Arial" w:cs="Arial"/>
          <w:iCs/>
        </w:rPr>
        <w:t>12.</w:t>
      </w:r>
      <w:r>
        <w:rPr>
          <w:rFonts w:ascii="Arial" w:hAnsi="Arial" w:cs="Arial"/>
          <w:iCs/>
          <w:lang w:val="sr-Cyrl-CS"/>
        </w:rPr>
        <w:t>2017. године. Рок за достављање понуда је био  29.01.2018. године до 12,00 часова.</w:t>
      </w:r>
    </w:p>
    <w:p w:rsidR="000A4D53" w:rsidRDefault="000A4D53" w:rsidP="000A4D53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пристигле су две понуде следећих понуђача:</w:t>
      </w:r>
    </w:p>
    <w:p w:rsidR="000A4D53" w:rsidRPr="009526B6" w:rsidRDefault="000A4D53" w:rsidP="000A4D5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noProof/>
          <w:lang w:val="ru-RU"/>
        </w:rPr>
      </w:pPr>
    </w:p>
    <w:p w:rsidR="000A4D53" w:rsidRDefault="000A4D53" w:rsidP="000A4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1.ЕПС СНАБДЕВАЊЕ Д.О.О.,Царице Милице бр 2, Београд, 26.01.2018. у 8,20 часова бр 379/1, врме пријема 9 сати и 15 минута .</w:t>
      </w:r>
    </w:p>
    <w:p w:rsidR="000A4D53" w:rsidRPr="00CC36A4" w:rsidRDefault="000A4D53" w:rsidP="000A4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2.</w:t>
      </w:r>
      <w:r>
        <w:rPr>
          <w:rFonts w:ascii="Arial" w:hAnsi="Arial" w:cs="Arial"/>
          <w:noProof/>
        </w:rPr>
        <w:t xml:space="preserve">PROENERGY , Владимира Поповића 6,11070 Нови Београд, дел.број 380/1 од 26.01.2018. време пријема 9 сати и 15 минута. </w:t>
      </w:r>
    </w:p>
    <w:p w:rsidR="000A4D53" w:rsidRDefault="000A4D53" w:rsidP="000A4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sr-Cyrl-CS"/>
        </w:rPr>
      </w:pPr>
    </w:p>
    <w:p w:rsidR="000A4D53" w:rsidRDefault="000A4D53" w:rsidP="000A4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 Нико од понуђача није присуствовао отварању понуда.</w:t>
      </w:r>
    </w:p>
    <w:p w:rsidR="000A4D53" w:rsidRDefault="000A4D53" w:rsidP="000A4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</w:p>
    <w:p w:rsidR="000A4D53" w:rsidRDefault="000A4D53" w:rsidP="000A4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</w:p>
    <w:p w:rsidR="000A4D53" w:rsidRDefault="000A4D53" w:rsidP="000A4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</w:p>
    <w:p w:rsidR="000A4D53" w:rsidRDefault="000A4D53" w:rsidP="000A4D5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</w:p>
    <w:p w:rsidR="000A4D53" w:rsidRDefault="000A4D53" w:rsidP="00AF45AF">
      <w:pPr>
        <w:jc w:val="both"/>
        <w:rPr>
          <w:rFonts w:ascii="Arial" w:hAnsi="Arial" w:cs="Arial"/>
          <w:noProof/>
          <w:lang w:val="ru-RU"/>
        </w:rPr>
      </w:pPr>
    </w:p>
    <w:p w:rsidR="000A4D53" w:rsidRDefault="000A4D53" w:rsidP="000A4D53">
      <w:pPr>
        <w:ind w:firstLine="720"/>
        <w:jc w:val="both"/>
        <w:rPr>
          <w:rFonts w:ascii="Arial" w:hAnsi="Arial" w:cs="Arial"/>
          <w:noProof/>
          <w:lang w:val="ru-RU"/>
        </w:rPr>
      </w:pPr>
    </w:p>
    <w:p w:rsidR="000A4D53" w:rsidRDefault="000A4D53" w:rsidP="000A4D53">
      <w:pPr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ru-RU"/>
        </w:rPr>
        <w:lastRenderedPageBreak/>
        <w:t xml:space="preserve">Комисија је након отварања понуда а </w:t>
      </w:r>
      <w:r w:rsidR="00AF45AF">
        <w:rPr>
          <w:rFonts w:ascii="Arial" w:hAnsi="Arial" w:cs="Arial"/>
          <w:noProof/>
          <w:lang w:val="ru-RU"/>
        </w:rPr>
        <w:t>ради што боље</w:t>
      </w:r>
      <w:r>
        <w:rPr>
          <w:rFonts w:ascii="Arial" w:hAnsi="Arial" w:cs="Arial"/>
          <w:noProof/>
          <w:lang w:val="ru-RU"/>
        </w:rPr>
        <w:t xml:space="preserve"> стручне оцене  у складу са чланом 93.ЗЈН послала понуђачу </w:t>
      </w:r>
      <w:r>
        <w:rPr>
          <w:rFonts w:ascii="Arial" w:hAnsi="Arial" w:cs="Arial"/>
          <w:noProof/>
        </w:rPr>
        <w:t>PROENERGY , Владимира Поповића 6,11070 Нови Београд додатна објашњења ради појашњења добра које понуђач нуди</w:t>
      </w:r>
      <w:r w:rsidR="00AF45AF">
        <w:rPr>
          <w:rFonts w:ascii="Arial" w:hAnsi="Arial" w:cs="Arial"/>
          <w:noProof/>
          <w:lang/>
        </w:rPr>
        <w:t>,</w:t>
      </w:r>
      <w:r>
        <w:rPr>
          <w:rFonts w:ascii="Arial" w:hAnsi="Arial" w:cs="Arial"/>
          <w:noProof/>
        </w:rPr>
        <w:t xml:space="preserve"> а из садржине документације се не може закључити којег је порекла добро које је предмет набавке.</w:t>
      </w:r>
    </w:p>
    <w:p w:rsidR="000A4D53" w:rsidRDefault="000A4D53" w:rsidP="000A4D53">
      <w:pPr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Стога је комисија дана 31.01.2018.</w:t>
      </w:r>
      <w:r>
        <w:rPr>
          <w:rFonts w:ascii="Arial" w:hAnsi="Arial" w:cs="Arial"/>
          <w:noProof/>
          <w:lang/>
        </w:rPr>
        <w:t xml:space="preserve"> год </w:t>
      </w:r>
      <w:r>
        <w:rPr>
          <w:rFonts w:ascii="Arial" w:hAnsi="Arial" w:cs="Arial"/>
          <w:noProof/>
        </w:rPr>
        <w:t>послала захтев са додатним објашњењима ради појашњења и достављања доказа у смислу потврде да понуђач нуди добро домаћег порекла.</w:t>
      </w:r>
    </w:p>
    <w:p w:rsidR="000A4D53" w:rsidRPr="00504710" w:rsidRDefault="000A4D53" w:rsidP="000A4D53">
      <w:pPr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Такође, комисија је захтевала да понуђач провери рачун тј.збир у колони укупна цена без ПДВ –а из разлога што је начињена грешка приликом сабирања, исправан износ је 9.190.090,34 дин.</w:t>
      </w:r>
    </w:p>
    <w:p w:rsidR="000A4D53" w:rsidRPr="00E516AB" w:rsidRDefault="000A4D53" w:rsidP="000A4D53">
      <w:pPr>
        <w:ind w:firstLine="720"/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/>
        </w:rPr>
        <w:t>................................................................................................................................</w:t>
      </w:r>
    </w:p>
    <w:p w:rsidR="000A4D53" w:rsidRDefault="000A4D53" w:rsidP="000A4D53">
      <w:pPr>
        <w:ind w:firstLine="720"/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/>
        </w:rPr>
        <w:t xml:space="preserve">Дана 02.02.2018. </w:t>
      </w:r>
      <w:r>
        <w:rPr>
          <w:rFonts w:ascii="Arial" w:hAnsi="Arial" w:cs="Arial"/>
          <w:noProof/>
        </w:rPr>
        <w:t xml:space="preserve">понуђач PROENERGY , Владимира Поповића 6,11070 Нови Београд </w:t>
      </w:r>
      <w:r>
        <w:rPr>
          <w:rFonts w:ascii="Arial" w:hAnsi="Arial" w:cs="Arial"/>
          <w:noProof/>
          <w:lang/>
        </w:rPr>
        <w:t>је</w:t>
      </w:r>
      <w:r>
        <w:rPr>
          <w:rFonts w:ascii="Arial" w:hAnsi="Arial" w:cs="Arial"/>
          <w:noProof/>
        </w:rPr>
        <w:t xml:space="preserve"> доставио </w:t>
      </w:r>
      <w:r>
        <w:rPr>
          <w:rFonts w:ascii="Arial" w:hAnsi="Arial" w:cs="Arial"/>
          <w:noProof/>
          <w:lang/>
        </w:rPr>
        <w:t xml:space="preserve">изјаву у којој наводи да не поседује </w:t>
      </w:r>
      <w:r>
        <w:rPr>
          <w:rFonts w:ascii="Arial" w:hAnsi="Arial" w:cs="Arial"/>
          <w:noProof/>
        </w:rPr>
        <w:t>Потврду Привредне коморе Србије</w:t>
      </w:r>
      <w:r>
        <w:rPr>
          <w:rFonts w:ascii="Arial" w:hAnsi="Arial" w:cs="Arial"/>
          <w:noProof/>
          <w:lang/>
        </w:rPr>
        <w:t xml:space="preserve"> да је роба домаћег порека али да цена коју нуди нема никаквих додатних трошкова царине, намета и слично. </w:t>
      </w:r>
      <w:r>
        <w:rPr>
          <w:rFonts w:ascii="Arial" w:hAnsi="Arial" w:cs="Arial"/>
          <w:noProof/>
        </w:rPr>
        <w:t xml:space="preserve"> </w:t>
      </w:r>
    </w:p>
    <w:p w:rsidR="000A4D53" w:rsidRDefault="000A4D53" w:rsidP="000A4D53">
      <w:pPr>
        <w:ind w:firstLine="720"/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/>
        </w:rPr>
        <w:t>Потврда Привредне Коморе Србије</w:t>
      </w:r>
      <w:r>
        <w:rPr>
          <w:rFonts w:ascii="Arial" w:hAnsi="Arial" w:cs="Arial"/>
          <w:noProof/>
        </w:rPr>
        <w:t xml:space="preserve"> је према Правилнику о начину испуњености услова </w:t>
      </w:r>
      <w:r>
        <w:rPr>
          <w:rFonts w:ascii="Arial" w:hAnsi="Arial" w:cs="Arial"/>
          <w:noProof/>
          <w:lang/>
        </w:rPr>
        <w:t xml:space="preserve">доказ </w:t>
      </w:r>
      <w:r>
        <w:rPr>
          <w:rFonts w:ascii="Arial" w:hAnsi="Arial" w:cs="Arial"/>
          <w:noProof/>
        </w:rPr>
        <w:t>да су понуђена добра , добра домаћег порекла  „СЛ.Гласник РС“бр 33/13.</w:t>
      </w:r>
    </w:p>
    <w:p w:rsidR="000A4D53" w:rsidRPr="00E516AB" w:rsidRDefault="000A4D53" w:rsidP="000A4D53">
      <w:pPr>
        <w:ind w:firstLine="720"/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/>
        </w:rPr>
        <w:t>Достављена Изјава понуђача није доказ о домаћем пореклу добра које се нуди у предметној набавци.</w:t>
      </w:r>
    </w:p>
    <w:p w:rsidR="000A4D53" w:rsidRDefault="000A4D53" w:rsidP="000A4D53">
      <w:pPr>
        <w:ind w:firstLine="720"/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/>
        </w:rPr>
        <w:t xml:space="preserve">Такоће понуђач </w:t>
      </w:r>
      <w:r>
        <w:rPr>
          <w:rFonts w:ascii="Arial" w:hAnsi="Arial" w:cs="Arial"/>
          <w:noProof/>
        </w:rPr>
        <w:t>PROENERGY , Владимира Поповића 6,11070 Нови Београд</w:t>
      </w:r>
      <w:r>
        <w:rPr>
          <w:rFonts w:ascii="Arial" w:hAnsi="Arial" w:cs="Arial"/>
          <w:noProof/>
          <w:lang/>
        </w:rPr>
        <w:t xml:space="preserve"> је  исправио рачунску грешку тако да је укупна понуђена цена 9.190.090,34 дин.</w:t>
      </w:r>
    </w:p>
    <w:p w:rsidR="000A4D53" w:rsidRDefault="000A4D53" w:rsidP="000A4D53">
      <w:pPr>
        <w:ind w:firstLine="720"/>
        <w:jc w:val="both"/>
        <w:rPr>
          <w:rFonts w:ascii="Arial" w:hAnsi="Arial" w:cs="Arial"/>
          <w:noProof/>
          <w:lang/>
        </w:rPr>
      </w:pPr>
    </w:p>
    <w:p w:rsidR="000A4D53" w:rsidRDefault="000A4D53" w:rsidP="000A4D53">
      <w:pPr>
        <w:ind w:firstLine="720"/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/>
        </w:rPr>
        <w:t xml:space="preserve">Разлика између цена понуђача </w:t>
      </w:r>
      <w:r>
        <w:rPr>
          <w:rFonts w:ascii="Arial" w:hAnsi="Arial" w:cs="Arial"/>
          <w:noProof/>
          <w:lang w:val="sr-Cyrl-CS"/>
        </w:rPr>
        <w:t xml:space="preserve">ЕПС СНАБДЕВАЊЕ Д.О.О. и </w:t>
      </w:r>
      <w:r>
        <w:rPr>
          <w:rFonts w:ascii="Arial" w:hAnsi="Arial" w:cs="Arial"/>
          <w:noProof/>
        </w:rPr>
        <w:t>PROENERGY , Владимира Поповића 6,11070 Нови Београд</w:t>
      </w:r>
      <w:r>
        <w:rPr>
          <w:rFonts w:ascii="Arial" w:hAnsi="Arial" w:cs="Arial"/>
          <w:noProof/>
          <w:lang/>
        </w:rPr>
        <w:t xml:space="preserve"> је :</w:t>
      </w:r>
    </w:p>
    <w:p w:rsidR="000A4D53" w:rsidRDefault="000A4D53" w:rsidP="000A4D53">
      <w:pPr>
        <w:ind w:firstLine="720"/>
        <w:jc w:val="both"/>
        <w:rPr>
          <w:rFonts w:ascii="Arial" w:hAnsi="Arial" w:cs="Arial"/>
          <w:noProof/>
          <w:lang/>
        </w:rPr>
      </w:pPr>
    </w:p>
    <w:p w:rsidR="000A4D53" w:rsidRDefault="000A4D53" w:rsidP="000A4D53">
      <w:pPr>
        <w:ind w:firstLine="720"/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/>
        </w:rPr>
        <w:t>9.259.180,18 – 9.190.090,18=69.089,84</w:t>
      </w:r>
    </w:p>
    <w:p w:rsidR="000A4D53" w:rsidRDefault="000A4D53" w:rsidP="000A4D53">
      <w:pPr>
        <w:ind w:firstLine="720"/>
        <w:jc w:val="both"/>
        <w:rPr>
          <w:rFonts w:ascii="Arial" w:hAnsi="Arial" w:cs="Arial"/>
          <w:noProof/>
          <w:lang/>
        </w:rPr>
      </w:pPr>
    </w:p>
    <w:p w:rsidR="000A4D53" w:rsidRDefault="000A4D53" w:rsidP="000A4D53">
      <w:pPr>
        <w:ind w:firstLine="720"/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/>
        </w:rPr>
        <w:t>Како је разлика између цена 0,75%  како је мања од 5% , на основу члана 86 Закона о јавним набавкама, комисија мора поступити по закону с обзиром да постоје понуде понуђача који нуди добро домаћег порекла и добро страног порекла, и изабрати понуђача који нуди добро домаћег порекла тј. Понуду ЕПС СНАБДЕВАЊЕ ДОО.</w:t>
      </w:r>
    </w:p>
    <w:p w:rsidR="000A4D53" w:rsidRPr="0074153D" w:rsidRDefault="000A4D53" w:rsidP="000A4D53">
      <w:pPr>
        <w:jc w:val="both"/>
        <w:rPr>
          <w:rFonts w:ascii="Arial" w:hAnsi="Arial" w:cs="Arial"/>
          <w:noProof/>
          <w:lang/>
        </w:rPr>
      </w:pPr>
    </w:p>
    <w:p w:rsidR="000A4D53" w:rsidRDefault="000A4D53" w:rsidP="000A4D53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noProof/>
          <w:lang w:val="ru-RU"/>
        </w:rPr>
        <w:t xml:space="preserve">ЕПС Снабдевање доо из Београда </w:t>
      </w:r>
      <w:r>
        <w:rPr>
          <w:rFonts w:ascii="Arial" w:hAnsi="Arial" w:cs="Arial"/>
          <w:noProof/>
          <w:lang w:val="sr-Cyrl-CS"/>
        </w:rPr>
        <w:t>понуда је</w:t>
      </w:r>
      <w:r>
        <w:rPr>
          <w:rFonts w:ascii="Arial" w:hAnsi="Arial" w:cs="Arial"/>
          <w:noProof/>
          <w:lang w:val="ru-RU"/>
        </w:rPr>
        <w:t xml:space="preserve"> прихватљива,  одговарајућа, потврда да је добро домаћег порекла је саставни део понуде комисија констатује да применом елемента критеријума  најнижа понуђена цена,  понуда понуђача ЕПС Снабдевање ДОО добија 100 пондера </w:t>
      </w:r>
      <w:r w:rsidRPr="009A4140">
        <w:rPr>
          <w:rFonts w:ascii="Arial" w:hAnsi="Arial" w:cs="Arial"/>
          <w:bCs/>
          <w:iCs/>
          <w:lang w:val="sr-Cyrl-CS"/>
        </w:rPr>
        <w:t>.</w:t>
      </w:r>
      <w:r>
        <w:rPr>
          <w:rFonts w:ascii="Arial" w:hAnsi="Arial" w:cs="Arial"/>
          <w:bCs/>
          <w:iCs/>
          <w:lang w:val="sr-Cyrl-CS"/>
        </w:rPr>
        <w:t xml:space="preserve"> </w:t>
      </w:r>
    </w:p>
    <w:p w:rsidR="000A4D53" w:rsidRDefault="000A4D53" w:rsidP="000A4D53">
      <w:pPr>
        <w:ind w:firstLine="720"/>
        <w:jc w:val="both"/>
        <w:rPr>
          <w:rFonts w:ascii="Arial" w:hAnsi="Arial" w:cs="Arial"/>
          <w:bCs/>
          <w:iCs/>
          <w:lang w:val="sr-Cyrl-CS"/>
        </w:rPr>
      </w:pPr>
    </w:p>
    <w:p w:rsidR="000A4D53" w:rsidRPr="009A4140" w:rsidRDefault="000A4D53" w:rsidP="000A4D53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Понуђена укупна цена у понуди ЕПС Снабдевање ДОО износи 9,259.180,18 дин без ПДВ-а.</w:t>
      </w:r>
    </w:p>
    <w:p w:rsidR="000A4D53" w:rsidRPr="000B7AB2" w:rsidRDefault="000A4D53" w:rsidP="000A4D53">
      <w:pPr>
        <w:ind w:firstLine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Елеменат критеријума и м</w:t>
      </w:r>
      <w:r w:rsidRPr="009A4140">
        <w:rPr>
          <w:rFonts w:ascii="Arial" w:hAnsi="Arial" w:cs="Arial"/>
          <w:bCs/>
          <w:iCs/>
          <w:lang w:val="sr-Cyrl-CS"/>
        </w:rPr>
        <w:t>етодологија доделе пондера је следећа:</w:t>
      </w:r>
    </w:p>
    <w:p w:rsidR="000A4D53" w:rsidRDefault="000A4D53" w:rsidP="000A4D53">
      <w:pPr>
        <w:jc w:val="both"/>
        <w:rPr>
          <w:rFonts w:ascii="Arial" w:hAnsi="Arial" w:cs="Arial"/>
          <w:bCs/>
          <w:iCs/>
          <w:lang w:val="sr-Cyrl-CS"/>
        </w:rPr>
      </w:pPr>
    </w:p>
    <w:p w:rsidR="000A4D53" w:rsidRDefault="000A4D53" w:rsidP="000A4D53">
      <w:pPr>
        <w:jc w:val="both"/>
        <w:rPr>
          <w:rFonts w:ascii="Arial" w:hAnsi="Arial" w:cs="Arial"/>
          <w:bCs/>
          <w:iCs/>
          <w:lang w:val="sr-Cyrl-CS"/>
        </w:rPr>
      </w:pPr>
    </w:p>
    <w:p w:rsidR="000A4D53" w:rsidRDefault="000A4D53" w:rsidP="000A4D53">
      <w:pPr>
        <w:jc w:val="both"/>
        <w:rPr>
          <w:rFonts w:ascii="Arial" w:hAnsi="Arial" w:cs="Arial"/>
          <w:bCs/>
          <w:iCs/>
          <w:lang w:val="sr-Cyrl-CS"/>
        </w:rPr>
      </w:pPr>
    </w:p>
    <w:p w:rsidR="000A4D53" w:rsidRDefault="000A4D53" w:rsidP="000A4D53">
      <w:pPr>
        <w:jc w:val="both"/>
        <w:rPr>
          <w:rFonts w:ascii="Arial" w:hAnsi="Arial" w:cs="Arial"/>
          <w:bCs/>
          <w:iCs/>
          <w:lang w:val="sr-Cyrl-CS"/>
        </w:rPr>
      </w:pPr>
    </w:p>
    <w:p w:rsidR="000A4D53" w:rsidRDefault="000A4D53" w:rsidP="000A4D53">
      <w:pPr>
        <w:jc w:val="both"/>
        <w:rPr>
          <w:rFonts w:ascii="Arial" w:hAnsi="Arial" w:cs="Arial"/>
          <w:bCs/>
          <w:iCs/>
          <w:lang w:val="sr-Cyrl-CS"/>
        </w:rPr>
      </w:pPr>
    </w:p>
    <w:p w:rsidR="000A4D53" w:rsidRDefault="000A4D53" w:rsidP="000A4D53">
      <w:pPr>
        <w:jc w:val="both"/>
        <w:rPr>
          <w:rFonts w:ascii="Arial" w:hAnsi="Arial" w:cs="Arial"/>
          <w:bCs/>
          <w:iCs/>
          <w:lang w:val="sr-Cyrl-CS"/>
        </w:rPr>
      </w:pPr>
    </w:p>
    <w:p w:rsidR="000A4D53" w:rsidRDefault="000A4D53" w:rsidP="000A4D53">
      <w:pPr>
        <w:jc w:val="both"/>
        <w:rPr>
          <w:rFonts w:ascii="Arial" w:hAnsi="Arial" w:cs="Arial"/>
          <w:bCs/>
          <w:iCs/>
          <w:lang w:val="sr-Cyrl-CS"/>
        </w:rPr>
      </w:pPr>
    </w:p>
    <w:p w:rsidR="000A4D53" w:rsidRDefault="000A4D53" w:rsidP="000A4D53">
      <w:pPr>
        <w:jc w:val="both"/>
        <w:rPr>
          <w:rFonts w:ascii="Arial" w:hAnsi="Arial" w:cs="Arial"/>
          <w:bCs/>
          <w:iCs/>
          <w:lang w:val="sr-Cyrl-CS"/>
        </w:rPr>
      </w:pPr>
    </w:p>
    <w:p w:rsidR="000A4D53" w:rsidRDefault="000A4D53" w:rsidP="000A4D53">
      <w:pPr>
        <w:jc w:val="both"/>
        <w:rPr>
          <w:rFonts w:ascii="Arial" w:hAnsi="Arial" w:cs="Arial"/>
          <w:bCs/>
          <w:iCs/>
          <w:lang w:val="sr-Cyrl-CS"/>
        </w:rPr>
      </w:pPr>
    </w:p>
    <w:p w:rsidR="000A4D53" w:rsidRDefault="000A4D53" w:rsidP="000A4D53">
      <w:pPr>
        <w:ind w:firstLine="720"/>
        <w:jc w:val="both"/>
        <w:rPr>
          <w:rFonts w:ascii="Arial" w:hAnsi="Arial" w:cs="Arial"/>
          <w:bCs/>
          <w:iCs/>
          <w:lang w:val="sr-Cyrl-CS"/>
        </w:rPr>
      </w:pPr>
    </w:p>
    <w:tbl>
      <w:tblPr>
        <w:tblW w:w="6724" w:type="dxa"/>
        <w:tblInd w:w="720" w:type="dxa"/>
        <w:tblLook w:val="0000"/>
      </w:tblPr>
      <w:tblGrid>
        <w:gridCol w:w="1067"/>
        <w:gridCol w:w="1731"/>
        <w:gridCol w:w="1909"/>
        <w:gridCol w:w="2017"/>
      </w:tblGrid>
      <w:tr w:rsidR="000A4D53" w:rsidRPr="00510E69" w:rsidTr="00635ABD">
        <w:trPr>
          <w:trHeight w:val="230"/>
        </w:trPr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53" w:rsidRPr="00510E69" w:rsidRDefault="000A4D53" w:rsidP="0063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Ред.бр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53" w:rsidRPr="00510E69" w:rsidRDefault="000A4D53" w:rsidP="0063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</w:t>
            </w: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азив</w:t>
            </w:r>
            <w:proofErr w:type="spellEnd"/>
            <w:r w:rsidRPr="00510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понуђача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A4D53" w:rsidRPr="00510E69" w:rsidRDefault="000A4D53" w:rsidP="0063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 w:rsidRPr="00510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без</w:t>
            </w:r>
            <w:proofErr w:type="spellEnd"/>
            <w:r w:rsidRPr="00510E69">
              <w:rPr>
                <w:rFonts w:ascii="Arial" w:hAnsi="Arial" w:cs="Arial"/>
                <w:sz w:val="20"/>
                <w:szCs w:val="20"/>
              </w:rPr>
              <w:t xml:space="preserve"> ПДВ -а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A4D53" w:rsidRPr="00510E69" w:rsidRDefault="000A4D53" w:rsidP="0063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 w:rsidRPr="00510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510E69">
              <w:rPr>
                <w:rFonts w:ascii="Arial" w:hAnsi="Arial" w:cs="Arial"/>
                <w:sz w:val="20"/>
                <w:szCs w:val="20"/>
              </w:rPr>
              <w:t xml:space="preserve"> ПДВ - </w:t>
            </w: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ом</w:t>
            </w:r>
            <w:proofErr w:type="spellEnd"/>
          </w:p>
        </w:tc>
      </w:tr>
      <w:tr w:rsidR="000A4D53" w:rsidRPr="00510E69" w:rsidTr="00635ABD">
        <w:trPr>
          <w:trHeight w:val="463"/>
        </w:trPr>
        <w:tc>
          <w:tcPr>
            <w:tcW w:w="10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D53" w:rsidRPr="00510E69" w:rsidTr="00635ABD">
        <w:trPr>
          <w:trHeight w:val="230"/>
        </w:trPr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4D53" w:rsidRPr="00510E69" w:rsidRDefault="000A4D53" w:rsidP="0063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Критер</w:t>
            </w:r>
            <w:proofErr w:type="spellEnd"/>
            <w:r w:rsidRPr="00510E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  <w:r w:rsidRPr="00510E6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пон.цена</w:t>
            </w:r>
            <w:proofErr w:type="spellEnd"/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53" w:rsidRPr="00533E12" w:rsidRDefault="000A4D53" w:rsidP="00635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E12">
              <w:rPr>
                <w:rFonts w:ascii="Arial" w:hAnsi="Arial" w:cs="Arial"/>
                <w:b/>
                <w:sz w:val="20"/>
                <w:szCs w:val="20"/>
              </w:rPr>
              <w:t>ЕПС СНАБДЕВАЊЕ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A4D53" w:rsidRPr="00046BCF" w:rsidRDefault="000A4D53" w:rsidP="00635AB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iCs/>
                <w:lang w:val="sr-Cyrl-CS"/>
              </w:rPr>
              <w:t>9,259.180,18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A4D53" w:rsidRPr="00046BCF" w:rsidRDefault="000A4D53" w:rsidP="00635AB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11.111.016,22</w:t>
            </w:r>
          </w:p>
        </w:tc>
      </w:tr>
      <w:tr w:rsidR="000A4D53" w:rsidRPr="00510E69" w:rsidTr="00635ABD">
        <w:trPr>
          <w:trHeight w:val="230"/>
        </w:trPr>
        <w:tc>
          <w:tcPr>
            <w:tcW w:w="10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D53" w:rsidRPr="00510E69" w:rsidTr="00635ABD">
        <w:trPr>
          <w:trHeight w:val="326"/>
        </w:trPr>
        <w:tc>
          <w:tcPr>
            <w:tcW w:w="10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D53" w:rsidRPr="00510E69" w:rsidTr="00635ABD">
        <w:trPr>
          <w:trHeight w:val="230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4D53" w:rsidRPr="00510E69" w:rsidRDefault="000A4D53" w:rsidP="0063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  <w:r w:rsidRPr="00510E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Пондера</w:t>
            </w:r>
            <w:proofErr w:type="spellEnd"/>
          </w:p>
        </w:tc>
        <w:tc>
          <w:tcPr>
            <w:tcW w:w="5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D53" w:rsidRPr="00D83E2E" w:rsidRDefault="000A4D53" w:rsidP="00635A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3E2E">
              <w:rPr>
                <w:rFonts w:ascii="Arial" w:hAnsi="Arial" w:cs="Arial"/>
                <w:sz w:val="28"/>
                <w:szCs w:val="28"/>
              </w:rPr>
              <w:t xml:space="preserve">100 </w:t>
            </w:r>
            <w:proofErr w:type="spellStart"/>
            <w:r w:rsidRPr="00D83E2E">
              <w:rPr>
                <w:rFonts w:ascii="Arial" w:hAnsi="Arial" w:cs="Arial"/>
                <w:sz w:val="28"/>
                <w:szCs w:val="28"/>
              </w:rPr>
              <w:t>пондера</w:t>
            </w:r>
            <w:proofErr w:type="spellEnd"/>
          </w:p>
        </w:tc>
      </w:tr>
      <w:tr w:rsidR="000A4D53" w:rsidRPr="00510E69" w:rsidTr="00635ABD">
        <w:trPr>
          <w:trHeight w:val="230"/>
        </w:trPr>
        <w:tc>
          <w:tcPr>
            <w:tcW w:w="10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A4D53" w:rsidRPr="00D83E2E" w:rsidRDefault="000A4D53" w:rsidP="00635A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D53" w:rsidRPr="00510E69" w:rsidTr="00635ABD">
        <w:trPr>
          <w:trHeight w:val="230"/>
        </w:trPr>
        <w:tc>
          <w:tcPr>
            <w:tcW w:w="10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4D53" w:rsidRPr="00510E69" w:rsidRDefault="000A4D53" w:rsidP="00635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A4D53" w:rsidRPr="00D83E2E" w:rsidRDefault="000A4D53" w:rsidP="00635A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D53" w:rsidRPr="00510E69" w:rsidTr="00635ABD">
        <w:trPr>
          <w:trHeight w:val="230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53" w:rsidRPr="00510E69" w:rsidRDefault="000A4D53" w:rsidP="00635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Рок</w:t>
            </w:r>
            <w:proofErr w:type="spellEnd"/>
            <w:r w:rsidRPr="00510E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0E69">
              <w:rPr>
                <w:rFonts w:ascii="Arial" w:hAnsi="Arial" w:cs="Arial"/>
                <w:sz w:val="20"/>
                <w:szCs w:val="20"/>
              </w:rPr>
              <w:t>важења</w:t>
            </w:r>
            <w:proofErr w:type="spellEnd"/>
          </w:p>
        </w:tc>
        <w:tc>
          <w:tcPr>
            <w:tcW w:w="5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4D53" w:rsidRPr="00D83E2E" w:rsidRDefault="000A4D53" w:rsidP="00635A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  <w:r w:rsidRPr="00D83E2E">
              <w:rPr>
                <w:rFonts w:ascii="Arial" w:hAnsi="Arial" w:cs="Arial"/>
                <w:sz w:val="28"/>
                <w:szCs w:val="28"/>
              </w:rPr>
              <w:t xml:space="preserve">0 </w:t>
            </w:r>
            <w:proofErr w:type="spellStart"/>
            <w:r w:rsidRPr="00D83E2E">
              <w:rPr>
                <w:rFonts w:ascii="Arial" w:hAnsi="Arial" w:cs="Arial"/>
                <w:sz w:val="28"/>
                <w:szCs w:val="28"/>
              </w:rPr>
              <w:t>дана</w:t>
            </w:r>
            <w:proofErr w:type="spellEnd"/>
          </w:p>
        </w:tc>
      </w:tr>
    </w:tbl>
    <w:p w:rsidR="000A4D53" w:rsidRDefault="000A4D53" w:rsidP="000A4D53">
      <w:pPr>
        <w:rPr>
          <w:lang w:val="sr-Cyrl-CS"/>
        </w:rPr>
      </w:pPr>
    </w:p>
    <w:p w:rsidR="000A4D53" w:rsidRDefault="000A4D53" w:rsidP="000A4D53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 w:rsidRPr="009C6667">
        <w:rPr>
          <w:rFonts w:ascii="Arial" w:hAnsi="Arial" w:cs="Arial"/>
          <w:iCs/>
          <w:lang w:val="sr-Cyrl-CS"/>
        </w:rPr>
        <w:t>На основу изнетог</w:t>
      </w:r>
      <w:r>
        <w:rPr>
          <w:rFonts w:ascii="Arial" w:hAnsi="Arial" w:cs="Arial"/>
          <w:iCs/>
          <w:lang w:val="sr-Cyrl-CS"/>
        </w:rPr>
        <w:t xml:space="preserve"> комисија предлаже одговорном лицу Наручиоца додељивање Уговора о јавној набавци </w:t>
      </w:r>
      <w:r>
        <w:rPr>
          <w:rFonts w:ascii="Arial" w:hAnsi="Arial" w:cs="Arial"/>
          <w:noProof/>
          <w:lang w:val="ru-RU"/>
        </w:rPr>
        <w:t>понуђачу  ЕПС Снабдевање доо из Београда</w:t>
      </w:r>
      <w:r>
        <w:rPr>
          <w:rFonts w:ascii="Arial" w:hAnsi="Arial" w:cs="Arial"/>
          <w:iCs/>
          <w:lang w:val="sr-Cyrl-CS"/>
        </w:rPr>
        <w:t>.</w:t>
      </w:r>
    </w:p>
    <w:p w:rsidR="000A4D53" w:rsidRDefault="000A4D53" w:rsidP="000A4D53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0A4D53" w:rsidRPr="007146B4" w:rsidRDefault="000A4D53" w:rsidP="000A4D53">
      <w:pPr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комисије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0A4D53" w:rsidRDefault="000A4D53" w:rsidP="000A4D53">
      <w:pPr>
        <w:jc w:val="both"/>
        <w:rPr>
          <w:rFonts w:ascii="Arial" w:hAnsi="Arial" w:cs="Arial"/>
          <w:b/>
          <w:lang w:val="sr-Cyrl-CS"/>
        </w:rPr>
      </w:pPr>
    </w:p>
    <w:p w:rsidR="000A4D53" w:rsidRDefault="000A4D53" w:rsidP="000A4D53">
      <w:pPr>
        <w:jc w:val="both"/>
        <w:rPr>
          <w:rFonts w:ascii="Arial" w:hAnsi="Arial" w:cs="Arial"/>
          <w:b/>
          <w:lang w:val="sr-Cyrl-CS"/>
        </w:rPr>
      </w:pPr>
      <w:r w:rsidRPr="007146B4">
        <w:rPr>
          <w:rFonts w:ascii="Arial" w:hAnsi="Arial" w:cs="Arial"/>
          <w:b/>
          <w:lang w:val="sr-Cyrl-CS"/>
        </w:rPr>
        <w:t>Поука о правном леку:</w:t>
      </w:r>
    </w:p>
    <w:p w:rsidR="000A4D53" w:rsidRPr="007146B4" w:rsidRDefault="000A4D53" w:rsidP="000A4D53">
      <w:pPr>
        <w:jc w:val="both"/>
        <w:rPr>
          <w:rFonts w:ascii="Arial" w:hAnsi="Arial" w:cs="Arial"/>
          <w:b/>
          <w:lang w:val="sr-Cyrl-CS"/>
        </w:rPr>
      </w:pPr>
    </w:p>
    <w:p w:rsidR="000A4D53" w:rsidRPr="00927B7A" w:rsidRDefault="000A4D53" w:rsidP="000A4D53">
      <w:pPr>
        <w:jc w:val="both"/>
        <w:rPr>
          <w:rFonts w:ascii="Arial" w:eastAsia="TimesNewRomanPSMT" w:hAnsi="Arial" w:cs="Arial"/>
          <w:bCs/>
          <w:sz w:val="20"/>
          <w:szCs w:val="20"/>
          <w:lang w:val="sr-Cyrl-CS"/>
        </w:rPr>
      </w:pPr>
      <w:r w:rsidRPr="00927B7A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10 дана од дана пријема исте. </w:t>
      </w:r>
      <w:proofErr w:type="spellStart"/>
      <w:r w:rsidRPr="00927B7A">
        <w:rPr>
          <w:rFonts w:ascii="Arial" w:hAnsi="Arial" w:cs="Arial"/>
          <w:sz w:val="20"/>
          <w:szCs w:val="20"/>
        </w:rPr>
        <w:t>Подносилац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захтева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је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дужан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да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на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рачун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буџета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Републике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Србије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уплати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таксу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од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120</w:t>
      </w:r>
      <w:r w:rsidRPr="00927B7A">
        <w:rPr>
          <w:rFonts w:ascii="Arial" w:hAnsi="Arial" w:cs="Arial"/>
          <w:b/>
          <w:sz w:val="20"/>
          <w:szCs w:val="20"/>
        </w:rPr>
        <w:t>.000,00</w:t>
      </w:r>
      <w:r w:rsidRPr="00927B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B7A">
        <w:rPr>
          <w:rFonts w:ascii="Arial" w:hAnsi="Arial" w:cs="Arial"/>
          <w:sz w:val="20"/>
          <w:szCs w:val="20"/>
        </w:rPr>
        <w:t>динара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27B7A">
        <w:rPr>
          <w:rFonts w:ascii="Arial" w:hAnsi="Arial" w:cs="Arial"/>
          <w:i/>
          <w:sz w:val="20"/>
          <w:szCs w:val="20"/>
          <w:u w:val="single"/>
        </w:rPr>
        <w:t>број</w:t>
      </w:r>
      <w:proofErr w:type="spellEnd"/>
      <w:r w:rsidRPr="00927B7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27B7A">
        <w:rPr>
          <w:rFonts w:ascii="Arial" w:hAnsi="Arial" w:cs="Arial"/>
          <w:i/>
          <w:sz w:val="20"/>
          <w:szCs w:val="20"/>
          <w:u w:val="single"/>
        </w:rPr>
        <w:t>жиро</w:t>
      </w:r>
      <w:proofErr w:type="spellEnd"/>
      <w:r w:rsidRPr="00927B7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27B7A">
        <w:rPr>
          <w:rFonts w:ascii="Arial" w:hAnsi="Arial" w:cs="Arial"/>
          <w:i/>
          <w:sz w:val="20"/>
          <w:szCs w:val="20"/>
          <w:u w:val="single"/>
        </w:rPr>
        <w:t>рачуна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: </w:t>
      </w:r>
      <w:r w:rsidRPr="00927B7A">
        <w:rPr>
          <w:rFonts w:ascii="Arial" w:hAnsi="Arial" w:cs="Arial"/>
          <w:sz w:val="20"/>
          <w:szCs w:val="20"/>
          <w:lang w:val="sr-Cyrl-CS"/>
        </w:rPr>
        <w:t>804-</w:t>
      </w:r>
      <w:r>
        <w:rPr>
          <w:rFonts w:ascii="Arial" w:hAnsi="Arial" w:cs="Arial"/>
          <w:sz w:val="20"/>
          <w:szCs w:val="20"/>
          <w:lang w:val="sr-Cyrl-CS"/>
        </w:rPr>
        <w:t>0000030976845-55</w:t>
      </w:r>
      <w:r w:rsidRPr="00927B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7B7A">
        <w:rPr>
          <w:rFonts w:ascii="Arial" w:hAnsi="Arial" w:cs="Arial"/>
          <w:i/>
          <w:sz w:val="20"/>
          <w:szCs w:val="20"/>
          <w:u w:val="single"/>
        </w:rPr>
        <w:t>позив</w:t>
      </w:r>
      <w:proofErr w:type="spellEnd"/>
      <w:r w:rsidRPr="00927B7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27B7A">
        <w:rPr>
          <w:rFonts w:ascii="Arial" w:hAnsi="Arial" w:cs="Arial"/>
          <w:i/>
          <w:sz w:val="20"/>
          <w:szCs w:val="20"/>
          <w:u w:val="single"/>
        </w:rPr>
        <w:t>на</w:t>
      </w:r>
      <w:proofErr w:type="spellEnd"/>
      <w:r w:rsidRPr="00927B7A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27B7A">
        <w:rPr>
          <w:rFonts w:ascii="Arial" w:hAnsi="Arial" w:cs="Arial"/>
          <w:i/>
          <w:sz w:val="20"/>
          <w:szCs w:val="20"/>
          <w:u w:val="single"/>
        </w:rPr>
        <w:t>број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:  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подаци о броју или </w:t>
      </w:r>
      <w:proofErr w:type="gramStart"/>
      <w:r w:rsidRPr="00927B7A">
        <w:rPr>
          <w:rFonts w:ascii="Arial" w:hAnsi="Arial" w:cs="Arial"/>
          <w:sz w:val="20"/>
          <w:szCs w:val="20"/>
          <w:lang w:val="sr-Cyrl-CS"/>
        </w:rPr>
        <w:t>ознаци  јавне</w:t>
      </w:r>
      <w:proofErr w:type="gramEnd"/>
      <w:r w:rsidRPr="00927B7A">
        <w:rPr>
          <w:rFonts w:ascii="Arial" w:hAnsi="Arial" w:cs="Arial"/>
          <w:sz w:val="20"/>
          <w:szCs w:val="20"/>
          <w:lang w:val="sr-Cyrl-CS"/>
        </w:rPr>
        <w:t xml:space="preserve"> набавке поводом које се подноси захтев за заштиту права, </w:t>
      </w:r>
      <w:r w:rsidRPr="00927B7A">
        <w:rPr>
          <w:rFonts w:ascii="Arial" w:hAnsi="Arial" w:cs="Arial"/>
          <w:i/>
          <w:sz w:val="20"/>
          <w:szCs w:val="20"/>
          <w:u w:val="single"/>
          <w:lang w:val="sr-Cyrl-CS"/>
        </w:rPr>
        <w:t>шифра плаћања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 153, или 253 </w:t>
      </w:r>
      <w:r w:rsidRPr="00927B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7B7A">
        <w:rPr>
          <w:rFonts w:ascii="Arial" w:hAnsi="Arial" w:cs="Arial"/>
          <w:i/>
          <w:sz w:val="20"/>
          <w:szCs w:val="20"/>
          <w:u w:val="single"/>
        </w:rPr>
        <w:t>сврха</w:t>
      </w:r>
      <w:proofErr w:type="spellEnd"/>
      <w:r w:rsidRPr="00927B7A">
        <w:rPr>
          <w:rFonts w:ascii="Arial" w:hAnsi="Arial" w:cs="Arial"/>
          <w:sz w:val="20"/>
          <w:szCs w:val="20"/>
        </w:rPr>
        <w:t xml:space="preserve">: 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такса за ЗЗП , назив наручиоца, број или ознака јавне набавке поводом које се подноси захтев за заштиту права, </w:t>
      </w:r>
      <w:r w:rsidRPr="00927B7A">
        <w:rPr>
          <w:rFonts w:ascii="Arial" w:hAnsi="Arial" w:cs="Arial"/>
          <w:i/>
          <w:sz w:val="20"/>
          <w:szCs w:val="20"/>
          <w:u w:val="single"/>
          <w:lang w:val="sr-Cyrl-CS"/>
        </w:rPr>
        <w:t>Корисник</w:t>
      </w:r>
      <w:r w:rsidRPr="00927B7A">
        <w:rPr>
          <w:rFonts w:ascii="Arial" w:hAnsi="Arial" w:cs="Arial"/>
          <w:sz w:val="20"/>
          <w:szCs w:val="20"/>
          <w:lang w:val="sr-Cyrl-CS"/>
        </w:rPr>
        <w:t>: буџет Републике Србије .</w:t>
      </w:r>
    </w:p>
    <w:p w:rsidR="000A4D53" w:rsidRDefault="000A4D53" w:rsidP="000A4D53">
      <w:pPr>
        <w:ind w:left="43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</w:t>
      </w:r>
    </w:p>
    <w:p w:rsidR="000A4D53" w:rsidRDefault="000A4D53" w:rsidP="000A4D53">
      <w:pPr>
        <w:ind w:left="4320"/>
        <w:rPr>
          <w:rFonts w:ascii="Arial" w:hAnsi="Arial" w:cs="Arial"/>
          <w:lang w:val="sr-Cyrl-CS"/>
        </w:rPr>
      </w:pPr>
    </w:p>
    <w:p w:rsidR="000A4D53" w:rsidRDefault="000A4D53" w:rsidP="000A4D53">
      <w:pPr>
        <w:ind w:left="4320"/>
        <w:rPr>
          <w:rFonts w:ascii="Arial" w:hAnsi="Arial" w:cs="Arial"/>
          <w:lang w:val="sr-Cyrl-CS"/>
        </w:rPr>
      </w:pPr>
    </w:p>
    <w:p w:rsidR="000A4D53" w:rsidRDefault="000A4D53" w:rsidP="000A4D53">
      <w:pPr>
        <w:ind w:left="64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ДИРЕКТОР</w:t>
      </w:r>
    </w:p>
    <w:p w:rsidR="000A4D53" w:rsidRDefault="000A4D53" w:rsidP="000A4D53">
      <w:pPr>
        <w:jc w:val="right"/>
        <w:rPr>
          <w:rFonts w:ascii="Arial" w:hAnsi="Arial" w:cs="Arial"/>
          <w:lang w:val="sr-Cyrl-CS"/>
        </w:rPr>
      </w:pPr>
    </w:p>
    <w:p w:rsidR="000A4D53" w:rsidRDefault="000A4D53" w:rsidP="000A4D53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______________________</w:t>
      </w:r>
    </w:p>
    <w:p w:rsidR="000A4D53" w:rsidRPr="007146B4" w:rsidRDefault="000A4D53" w:rsidP="000A4D5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Весна Вујановић, дипл.екон.                              </w:t>
      </w:r>
      <w:r w:rsidRPr="007146B4">
        <w:rPr>
          <w:rFonts w:ascii="Arial" w:hAnsi="Arial" w:cs="Arial"/>
          <w:lang w:val="sr-Cyrl-CS"/>
        </w:rPr>
        <w:t xml:space="preserve">Одлуку доставити: </w:t>
      </w:r>
      <w:r w:rsidRPr="007146B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</w:p>
    <w:p w:rsidR="000A4D53" w:rsidRPr="007146B4" w:rsidRDefault="000A4D53" w:rsidP="000A4D5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-Порталу јавних набавки</w:t>
      </w:r>
    </w:p>
    <w:p w:rsidR="000A4D53" w:rsidRPr="007146B4" w:rsidRDefault="000A4D53" w:rsidP="000A4D53">
      <w:pPr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>-Архиви</w:t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</w:p>
    <w:p w:rsidR="000A4D53" w:rsidRPr="003C3ABC" w:rsidRDefault="000A4D53" w:rsidP="000A4D53">
      <w:pPr>
        <w:rPr>
          <w:lang w:val="sr-Cyrl-CS"/>
        </w:rPr>
      </w:pPr>
    </w:p>
    <w:p w:rsidR="000A4D53" w:rsidRPr="002E6999" w:rsidRDefault="000A4D53" w:rsidP="000A4D53">
      <w:pPr>
        <w:rPr>
          <w:lang w:val="sr-Cyrl-CS"/>
        </w:rPr>
      </w:pPr>
    </w:p>
    <w:p w:rsidR="00184E24" w:rsidRDefault="00184E24"/>
    <w:sectPr w:rsidR="00184E24" w:rsidSect="0064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49BD"/>
    <w:multiLevelType w:val="hybridMultilevel"/>
    <w:tmpl w:val="557A8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0A4D53"/>
    <w:rsid w:val="000A4D53"/>
    <w:rsid w:val="00184E24"/>
    <w:rsid w:val="007C6658"/>
    <w:rsid w:val="00A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2018-02-02T10:36:00Z</cp:lastPrinted>
  <dcterms:created xsi:type="dcterms:W3CDTF">2018-02-02T10:25:00Z</dcterms:created>
  <dcterms:modified xsi:type="dcterms:W3CDTF">2018-02-02T11:02:00Z</dcterms:modified>
</cp:coreProperties>
</file>